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辛进龙</w:t>
      </w:r>
      <w:r>
        <w:rPr>
          <w:rFonts w:hint="eastAsia"/>
          <w:sz w:val="15"/>
          <w:szCs w:val="15"/>
          <w:highlight w:val="none"/>
        </w:rPr>
        <w:t>，</w:t>
      </w:r>
      <w:r>
        <w:rPr>
          <w:rFonts w:hint="eastAsia"/>
          <w:sz w:val="15"/>
          <w:szCs w:val="15"/>
          <w:highlight w:val="none"/>
          <w:lang w:val="en-US" w:eastAsia="zh-CN"/>
        </w:rPr>
        <w:t>130122197102226217</w:t>
      </w:r>
      <w:r>
        <w:rPr>
          <w:rFonts w:hint="eastAsia"/>
          <w:sz w:val="15"/>
          <w:szCs w:val="15"/>
        </w:rPr>
        <w:t xml:space="preserve">  </w:t>
      </w:r>
      <w:r>
        <w:rPr>
          <w:rFonts w:hint="eastAsia"/>
          <w:sz w:val="15"/>
          <w:szCs w:val="15"/>
          <w:lang w:val="en-US" w:eastAsia="zh-CN"/>
        </w:rPr>
        <w:t>冀A01580D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