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张铁军</w:t>
      </w:r>
      <w:r>
        <w:rPr>
          <w:rFonts w:hint="eastAsia"/>
          <w:sz w:val="15"/>
          <w:szCs w:val="15"/>
          <w:highlight w:val="none"/>
        </w:rPr>
        <w:t>，</w:t>
      </w:r>
      <w:r>
        <w:rPr>
          <w:rFonts w:hint="eastAsia"/>
          <w:sz w:val="15"/>
          <w:szCs w:val="15"/>
          <w:highlight w:val="none"/>
          <w:lang w:val="en-US" w:eastAsia="zh-CN"/>
        </w:rPr>
        <w:t>132335197706020011</w:t>
      </w:r>
      <w:r>
        <w:rPr>
          <w:rFonts w:hint="eastAsia"/>
          <w:sz w:val="15"/>
          <w:szCs w:val="15"/>
        </w:rPr>
        <w:t xml:space="preserve">  </w:t>
      </w:r>
      <w:r>
        <w:rPr>
          <w:rFonts w:hint="eastAsia"/>
          <w:sz w:val="15"/>
          <w:szCs w:val="15"/>
          <w:lang w:val="en-US" w:eastAsia="zh-CN"/>
        </w:rPr>
        <w:t>冀J06287D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