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姜桂兰</w:t>
      </w:r>
      <w:r>
        <w:rPr>
          <w:rFonts w:hint="eastAsia"/>
          <w:sz w:val="15"/>
          <w:szCs w:val="15"/>
          <w:highlight w:val="none"/>
        </w:rPr>
        <w:t>，</w:t>
      </w:r>
      <w:r>
        <w:rPr>
          <w:rFonts w:hint="eastAsia"/>
          <w:sz w:val="15"/>
          <w:szCs w:val="15"/>
          <w:highlight w:val="none"/>
          <w:lang w:val="en-US" w:eastAsia="zh-CN"/>
        </w:rPr>
        <w:t>130924198602251524</w:t>
      </w:r>
      <w:r>
        <w:rPr>
          <w:rFonts w:hint="eastAsia"/>
          <w:sz w:val="15"/>
          <w:szCs w:val="15"/>
        </w:rPr>
        <w:t xml:space="preserve">  </w:t>
      </w:r>
      <w:r>
        <w:rPr>
          <w:rFonts w:hint="eastAsia"/>
          <w:sz w:val="15"/>
          <w:szCs w:val="15"/>
          <w:lang w:val="en-US" w:eastAsia="zh-CN"/>
        </w:rPr>
        <w:t>冀J5F017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