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李俊业</w:t>
      </w:r>
      <w:r>
        <w:rPr>
          <w:rFonts w:hint="eastAsia"/>
          <w:sz w:val="15"/>
          <w:szCs w:val="15"/>
          <w:highlight w:val="none"/>
        </w:rPr>
        <w:t>，</w:t>
      </w:r>
      <w:r>
        <w:rPr>
          <w:rFonts w:hint="eastAsia"/>
          <w:sz w:val="15"/>
          <w:szCs w:val="15"/>
          <w:highlight w:val="none"/>
          <w:lang w:val="en-US" w:eastAsia="zh-CN"/>
        </w:rPr>
        <w:t>231026197605255014</w:t>
      </w:r>
      <w:r>
        <w:rPr>
          <w:rFonts w:hint="eastAsia"/>
          <w:sz w:val="15"/>
          <w:szCs w:val="15"/>
        </w:rPr>
        <w:t xml:space="preserve">  </w:t>
      </w:r>
      <w:r>
        <w:rPr>
          <w:rFonts w:hint="eastAsia"/>
          <w:sz w:val="15"/>
          <w:szCs w:val="15"/>
          <w:lang w:val="en-US" w:eastAsia="zh-CN"/>
        </w:rPr>
        <w:t>冀J1J327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