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刘维义</w:t>
      </w:r>
      <w:r>
        <w:rPr>
          <w:rFonts w:hint="eastAsia"/>
          <w:sz w:val="15"/>
          <w:szCs w:val="15"/>
          <w:highlight w:val="none"/>
        </w:rPr>
        <w:t>，</w:t>
      </w:r>
      <w:r>
        <w:rPr>
          <w:rFonts w:hint="eastAsia"/>
          <w:sz w:val="15"/>
          <w:szCs w:val="15"/>
          <w:highlight w:val="none"/>
          <w:lang w:val="en-US" w:eastAsia="zh-CN"/>
        </w:rPr>
        <w:t>37232319781225331X</w:t>
      </w:r>
      <w:r>
        <w:rPr>
          <w:rFonts w:hint="eastAsia"/>
          <w:sz w:val="15"/>
          <w:szCs w:val="15"/>
        </w:rPr>
        <w:t xml:space="preserve">  </w:t>
      </w:r>
      <w:r>
        <w:rPr>
          <w:rFonts w:hint="eastAsia"/>
          <w:sz w:val="15"/>
          <w:szCs w:val="15"/>
          <w:lang w:val="en-US" w:eastAsia="zh-CN"/>
        </w:rPr>
        <w:t>鲁NJ0958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