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滕文浩</w:t>
      </w:r>
      <w:r>
        <w:rPr>
          <w:rFonts w:hint="eastAsia"/>
          <w:sz w:val="15"/>
          <w:szCs w:val="15"/>
          <w:highlight w:val="none"/>
        </w:rPr>
        <w:t>，</w:t>
      </w:r>
      <w:r>
        <w:rPr>
          <w:rFonts w:hint="eastAsia"/>
          <w:sz w:val="15"/>
          <w:szCs w:val="15"/>
          <w:highlight w:val="none"/>
          <w:lang w:val="en-US" w:eastAsia="zh-CN"/>
        </w:rPr>
        <w:t>132930198203050054</w:t>
      </w:r>
      <w:r>
        <w:rPr>
          <w:rFonts w:hint="eastAsia"/>
          <w:sz w:val="15"/>
          <w:szCs w:val="15"/>
        </w:rPr>
        <w:t xml:space="preserve">  </w:t>
      </w:r>
      <w:r>
        <w:rPr>
          <w:rFonts w:hint="eastAsia"/>
          <w:sz w:val="15"/>
          <w:szCs w:val="15"/>
          <w:lang w:val="en-US" w:eastAsia="zh-CN"/>
        </w:rPr>
        <w:t>冀J3E567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