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赵广明</w:t>
      </w:r>
      <w:r>
        <w:rPr>
          <w:rFonts w:hint="eastAsia"/>
          <w:sz w:val="15"/>
          <w:szCs w:val="15"/>
          <w:highlight w:val="none"/>
        </w:rPr>
        <w:t>，</w:t>
      </w:r>
      <w:r>
        <w:rPr>
          <w:rFonts w:hint="eastAsia"/>
          <w:sz w:val="15"/>
          <w:szCs w:val="15"/>
          <w:highlight w:val="none"/>
          <w:lang w:val="en-US" w:eastAsia="zh-CN"/>
        </w:rPr>
        <w:t>130924198502111532</w:t>
      </w:r>
      <w:r>
        <w:rPr>
          <w:rFonts w:hint="eastAsia"/>
          <w:sz w:val="15"/>
          <w:szCs w:val="15"/>
        </w:rPr>
        <w:t xml:space="preserve">  </w:t>
      </w:r>
      <w:r>
        <w:rPr>
          <w:rFonts w:hint="eastAsia"/>
          <w:sz w:val="15"/>
          <w:szCs w:val="15"/>
          <w:lang w:val="en-US" w:eastAsia="zh-CN"/>
        </w:rPr>
        <w:t>冀J9V098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