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张树志</w:t>
      </w:r>
      <w:r>
        <w:rPr>
          <w:rFonts w:hint="eastAsia"/>
          <w:sz w:val="15"/>
          <w:szCs w:val="15"/>
          <w:highlight w:val="none"/>
        </w:rPr>
        <w:t>，</w:t>
      </w:r>
      <w:r>
        <w:rPr>
          <w:rFonts w:hint="eastAsia"/>
          <w:sz w:val="15"/>
          <w:szCs w:val="15"/>
          <w:highlight w:val="none"/>
          <w:lang w:val="en-US" w:eastAsia="zh-CN"/>
        </w:rPr>
        <w:t>130983198511292013</w:t>
      </w:r>
      <w:r>
        <w:rPr>
          <w:rFonts w:hint="eastAsia"/>
          <w:sz w:val="15"/>
          <w:szCs w:val="15"/>
        </w:rPr>
        <w:t xml:space="preserve">  </w:t>
      </w:r>
      <w:r>
        <w:rPr>
          <w:rFonts w:hint="eastAsia"/>
          <w:sz w:val="15"/>
          <w:szCs w:val="15"/>
          <w:lang w:val="en-US" w:eastAsia="zh-CN"/>
        </w:rPr>
        <w:t>冀J5G255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