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滕华林</w:t>
      </w:r>
      <w:r>
        <w:rPr>
          <w:rFonts w:hint="eastAsia"/>
          <w:sz w:val="15"/>
          <w:szCs w:val="15"/>
          <w:highlight w:val="none"/>
        </w:rPr>
        <w:t>，</w:t>
      </w:r>
      <w:r>
        <w:rPr>
          <w:rFonts w:hint="eastAsia"/>
          <w:sz w:val="15"/>
          <w:szCs w:val="15"/>
          <w:highlight w:val="none"/>
          <w:lang w:val="en-US" w:eastAsia="zh-CN"/>
        </w:rPr>
        <w:t>130983198404032419</w:t>
      </w:r>
      <w:r>
        <w:rPr>
          <w:rFonts w:hint="eastAsia"/>
          <w:sz w:val="15"/>
          <w:szCs w:val="15"/>
        </w:rPr>
        <w:t xml:space="preserve">  </w:t>
      </w:r>
      <w:r>
        <w:rPr>
          <w:rFonts w:hint="eastAsia"/>
          <w:sz w:val="15"/>
          <w:szCs w:val="15"/>
          <w:lang w:val="en-US" w:eastAsia="zh-CN"/>
        </w:rPr>
        <w:t>冀J6U519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