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褚福勇</w:t>
      </w:r>
      <w:r>
        <w:rPr>
          <w:rFonts w:hint="eastAsia"/>
          <w:sz w:val="15"/>
          <w:szCs w:val="15"/>
          <w:highlight w:val="none"/>
        </w:rPr>
        <w:t>，</w:t>
      </w:r>
      <w:r>
        <w:rPr>
          <w:rFonts w:hint="eastAsia"/>
          <w:sz w:val="15"/>
          <w:szCs w:val="15"/>
          <w:highlight w:val="none"/>
          <w:lang w:val="en-US" w:eastAsia="zh-CN"/>
        </w:rPr>
        <w:t>372323197601070337</w:t>
      </w:r>
      <w:r>
        <w:rPr>
          <w:rFonts w:hint="eastAsia"/>
          <w:sz w:val="15"/>
          <w:szCs w:val="15"/>
        </w:rPr>
        <w:t xml:space="preserve">  </w:t>
      </w:r>
      <w:r>
        <w:rPr>
          <w:rFonts w:hint="eastAsia"/>
          <w:sz w:val="15"/>
          <w:szCs w:val="15"/>
          <w:lang w:val="en-US" w:eastAsia="zh-CN"/>
        </w:rPr>
        <w:t>鲁MGB627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