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孙一举</w:t>
      </w:r>
      <w:r>
        <w:rPr>
          <w:rFonts w:hint="eastAsia"/>
          <w:sz w:val="15"/>
          <w:szCs w:val="15"/>
          <w:highlight w:val="none"/>
        </w:rPr>
        <w:t>，</w:t>
      </w:r>
      <w:r>
        <w:rPr>
          <w:rFonts w:hint="eastAsia"/>
          <w:sz w:val="15"/>
          <w:szCs w:val="15"/>
          <w:highlight w:val="none"/>
          <w:lang w:val="en-US" w:eastAsia="zh-CN"/>
        </w:rPr>
        <w:t>130925197906026416</w:t>
      </w:r>
      <w:r>
        <w:rPr>
          <w:rFonts w:hint="eastAsia"/>
          <w:sz w:val="15"/>
          <w:szCs w:val="15"/>
        </w:rPr>
        <w:t xml:space="preserve">  </w:t>
      </w:r>
      <w:r>
        <w:rPr>
          <w:rFonts w:hint="eastAsia"/>
          <w:sz w:val="15"/>
          <w:szCs w:val="15"/>
          <w:lang w:val="en-US" w:eastAsia="zh-CN"/>
        </w:rPr>
        <w:t>冀J6Q522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