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王成刚</w:t>
      </w:r>
      <w:r>
        <w:rPr>
          <w:rFonts w:hint="eastAsia"/>
          <w:sz w:val="15"/>
          <w:szCs w:val="15"/>
          <w:highlight w:val="none"/>
        </w:rPr>
        <w:t>，</w:t>
      </w:r>
      <w:r>
        <w:rPr>
          <w:rFonts w:hint="eastAsia"/>
          <w:sz w:val="15"/>
          <w:szCs w:val="15"/>
          <w:highlight w:val="none"/>
          <w:lang w:val="en-US" w:eastAsia="zh-CN"/>
        </w:rPr>
        <w:t>220211197508012110</w:t>
      </w:r>
      <w:r>
        <w:rPr>
          <w:rFonts w:hint="eastAsia"/>
          <w:sz w:val="15"/>
          <w:szCs w:val="15"/>
        </w:rPr>
        <w:t xml:space="preserve">  </w:t>
      </w:r>
      <w:r>
        <w:rPr>
          <w:rFonts w:hint="eastAsia"/>
          <w:sz w:val="15"/>
          <w:szCs w:val="15"/>
          <w:lang w:val="en-US" w:eastAsia="zh-CN"/>
        </w:rPr>
        <w:t>冀J5P127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