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3521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刘晓刚</w:t>
      </w:r>
      <w:r>
        <w:rPr>
          <w:rFonts w:hint="eastAsia"/>
          <w:sz w:val="15"/>
          <w:szCs w:val="15"/>
          <w:highlight w:val="none"/>
        </w:rPr>
        <w:t>，</w:t>
      </w:r>
      <w:r>
        <w:rPr>
          <w:rFonts w:hint="eastAsia"/>
          <w:sz w:val="15"/>
          <w:szCs w:val="15"/>
          <w:highlight w:val="none"/>
          <w:lang w:val="en-US" w:eastAsia="zh-CN"/>
        </w:rPr>
        <w:t>13013119881022183X</w:t>
      </w:r>
      <w:r>
        <w:rPr>
          <w:rFonts w:hint="eastAsia"/>
          <w:sz w:val="15"/>
          <w:szCs w:val="15"/>
        </w:rPr>
        <w:t xml:space="preserve">  </w:t>
      </w:r>
      <w:r>
        <w:rPr>
          <w:rFonts w:hint="eastAsia"/>
          <w:sz w:val="15"/>
          <w:szCs w:val="15"/>
          <w:lang w:val="en-US" w:eastAsia="zh-CN"/>
        </w:rPr>
        <w:t>冀A05253D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