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刘二亮</w:t>
      </w:r>
      <w:r>
        <w:rPr>
          <w:rFonts w:hint="eastAsia"/>
          <w:sz w:val="15"/>
          <w:szCs w:val="15"/>
          <w:highlight w:val="none"/>
        </w:rPr>
        <w:t>，</w:t>
      </w:r>
      <w:r>
        <w:rPr>
          <w:rFonts w:hint="eastAsia"/>
          <w:sz w:val="15"/>
          <w:szCs w:val="15"/>
          <w:highlight w:val="none"/>
          <w:lang w:val="en-US" w:eastAsia="zh-CN"/>
        </w:rPr>
        <w:t>132335197712230875</w:t>
      </w:r>
      <w:r>
        <w:rPr>
          <w:rFonts w:hint="eastAsia"/>
          <w:sz w:val="15"/>
          <w:szCs w:val="15"/>
        </w:rPr>
        <w:t xml:space="preserve">  </w:t>
      </w:r>
      <w:r>
        <w:rPr>
          <w:rFonts w:hint="eastAsia"/>
          <w:sz w:val="15"/>
          <w:szCs w:val="15"/>
          <w:lang w:val="en-US" w:eastAsia="zh-CN"/>
        </w:rPr>
        <w:t>冀A07183D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