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任春彦</w:t>
      </w:r>
      <w:r>
        <w:rPr>
          <w:rFonts w:hint="eastAsia"/>
          <w:sz w:val="15"/>
          <w:szCs w:val="15"/>
          <w:highlight w:val="none"/>
        </w:rPr>
        <w:t>，</w:t>
      </w:r>
      <w:r>
        <w:rPr>
          <w:rFonts w:hint="eastAsia"/>
          <w:sz w:val="15"/>
          <w:szCs w:val="15"/>
          <w:highlight w:val="none"/>
          <w:lang w:val="en-US" w:eastAsia="zh-CN"/>
        </w:rPr>
        <w:t>130131198503141514</w:t>
      </w:r>
      <w:r>
        <w:rPr>
          <w:rFonts w:hint="eastAsia"/>
          <w:sz w:val="15"/>
          <w:szCs w:val="15"/>
        </w:rPr>
        <w:t xml:space="preserve">  </w:t>
      </w:r>
      <w:r>
        <w:rPr>
          <w:rFonts w:hint="eastAsia"/>
          <w:sz w:val="15"/>
          <w:szCs w:val="15"/>
          <w:lang w:val="en-US" w:eastAsia="zh-CN"/>
        </w:rPr>
        <w:t>沪A76139D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