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辛雪鹏</w:t>
      </w:r>
      <w:r>
        <w:rPr>
          <w:rFonts w:hint="eastAsia"/>
          <w:sz w:val="15"/>
          <w:szCs w:val="15"/>
          <w:highlight w:val="none"/>
        </w:rPr>
        <w:t>，</w:t>
      </w:r>
      <w:r>
        <w:rPr>
          <w:rFonts w:hint="eastAsia"/>
          <w:sz w:val="15"/>
          <w:szCs w:val="15"/>
          <w:highlight w:val="none"/>
          <w:lang w:val="en-US" w:eastAsia="zh-CN"/>
        </w:rPr>
        <w:t>130126198612021529</w:t>
      </w:r>
      <w:r>
        <w:rPr>
          <w:rFonts w:hint="eastAsia"/>
          <w:sz w:val="15"/>
          <w:szCs w:val="15"/>
        </w:rPr>
        <w:t xml:space="preserve">  </w:t>
      </w:r>
      <w:r>
        <w:rPr>
          <w:rFonts w:hint="eastAsia"/>
          <w:sz w:val="15"/>
          <w:szCs w:val="15"/>
          <w:lang w:val="en-US" w:eastAsia="zh-CN"/>
        </w:rPr>
        <w:t>冀A48266D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