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刘玉玲</w:t>
      </w:r>
      <w:r>
        <w:rPr>
          <w:rFonts w:hint="eastAsia"/>
          <w:sz w:val="15"/>
          <w:szCs w:val="15"/>
          <w:highlight w:val="none"/>
        </w:rPr>
        <w:t>，</w:t>
      </w:r>
      <w:r>
        <w:rPr>
          <w:rFonts w:hint="eastAsia"/>
          <w:sz w:val="15"/>
          <w:szCs w:val="15"/>
          <w:highlight w:val="none"/>
          <w:lang w:val="en-US" w:eastAsia="zh-CN"/>
        </w:rPr>
        <w:t>130625197408240448</w:t>
      </w:r>
      <w:r>
        <w:rPr>
          <w:rFonts w:hint="eastAsia"/>
          <w:sz w:val="15"/>
          <w:szCs w:val="15"/>
        </w:rPr>
        <w:t xml:space="preserve">  </w:t>
      </w:r>
      <w:r>
        <w:rPr>
          <w:rFonts w:hint="eastAsia"/>
          <w:sz w:val="15"/>
          <w:szCs w:val="15"/>
          <w:lang w:val="en-US" w:eastAsia="zh-CN"/>
        </w:rPr>
        <w:t>冀FT5830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