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韩建平</w:t>
      </w:r>
      <w:r>
        <w:rPr>
          <w:rFonts w:hint="eastAsia"/>
          <w:sz w:val="15"/>
          <w:szCs w:val="15"/>
          <w:highlight w:val="none"/>
        </w:rPr>
        <w:t>，</w:t>
      </w:r>
      <w:r>
        <w:rPr>
          <w:rFonts w:hint="eastAsia"/>
          <w:sz w:val="15"/>
          <w:szCs w:val="15"/>
          <w:highlight w:val="none"/>
          <w:lang w:val="en-US" w:eastAsia="zh-CN"/>
        </w:rPr>
        <w:t>132335197303291327</w:t>
      </w:r>
      <w:r>
        <w:rPr>
          <w:rFonts w:hint="eastAsia"/>
          <w:sz w:val="15"/>
          <w:szCs w:val="15"/>
        </w:rPr>
        <w:t xml:space="preserve">  </w:t>
      </w:r>
      <w:r>
        <w:rPr>
          <w:rFonts w:hint="eastAsia"/>
          <w:sz w:val="15"/>
          <w:szCs w:val="15"/>
          <w:lang w:val="en-US" w:eastAsia="zh-CN"/>
        </w:rPr>
        <w:t>沪A73622D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