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武跃文</w:t>
      </w:r>
      <w:r>
        <w:rPr>
          <w:rFonts w:hint="eastAsia"/>
          <w:sz w:val="15"/>
          <w:szCs w:val="15"/>
          <w:highlight w:val="none"/>
        </w:rPr>
        <w:t>，</w:t>
      </w:r>
      <w:r>
        <w:rPr>
          <w:rFonts w:hint="eastAsia"/>
          <w:sz w:val="15"/>
          <w:szCs w:val="15"/>
          <w:highlight w:val="none"/>
          <w:lang w:val="en-US" w:eastAsia="zh-CN"/>
        </w:rPr>
        <w:t>132336197101110010</w:t>
      </w:r>
      <w:r>
        <w:rPr>
          <w:rFonts w:hint="eastAsia"/>
          <w:sz w:val="15"/>
          <w:szCs w:val="15"/>
        </w:rPr>
        <w:t xml:space="preserve">  </w:t>
      </w:r>
      <w:r>
        <w:rPr>
          <w:rFonts w:hint="eastAsia"/>
          <w:sz w:val="15"/>
          <w:szCs w:val="15"/>
          <w:lang w:val="en-US" w:eastAsia="zh-CN"/>
        </w:rPr>
        <w:t>冀AV8712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