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王振龙</w:t>
      </w:r>
      <w:r>
        <w:rPr>
          <w:rFonts w:hint="eastAsia"/>
          <w:sz w:val="15"/>
          <w:szCs w:val="15"/>
          <w:highlight w:val="none"/>
        </w:rPr>
        <w:t>，</w:t>
      </w:r>
      <w:r>
        <w:rPr>
          <w:rFonts w:hint="eastAsia"/>
          <w:sz w:val="15"/>
          <w:szCs w:val="15"/>
          <w:highlight w:val="none"/>
          <w:lang w:val="en-US" w:eastAsia="zh-CN"/>
        </w:rPr>
        <w:t>130131198804100652</w:t>
      </w:r>
      <w:r>
        <w:rPr>
          <w:rFonts w:hint="eastAsia"/>
          <w:sz w:val="15"/>
          <w:szCs w:val="15"/>
        </w:rPr>
        <w:t xml:space="preserve">  </w:t>
      </w:r>
      <w:r>
        <w:rPr>
          <w:rFonts w:hint="eastAsia"/>
          <w:sz w:val="15"/>
          <w:szCs w:val="15"/>
          <w:lang w:val="en-US" w:eastAsia="zh-CN"/>
        </w:rPr>
        <w:t>沪A95159D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