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王志刚</w:t>
      </w:r>
      <w:r>
        <w:rPr>
          <w:rFonts w:hint="eastAsia"/>
          <w:sz w:val="15"/>
          <w:szCs w:val="15"/>
          <w:highlight w:val="none"/>
        </w:rPr>
        <w:t>，</w:t>
      </w:r>
      <w:r>
        <w:rPr>
          <w:rFonts w:hint="eastAsia"/>
          <w:sz w:val="15"/>
          <w:szCs w:val="15"/>
          <w:highlight w:val="none"/>
          <w:lang w:val="en-US" w:eastAsia="zh-CN"/>
        </w:rPr>
        <w:t>132335197403242012</w:t>
      </w:r>
      <w:r>
        <w:rPr>
          <w:rFonts w:hint="eastAsia"/>
          <w:sz w:val="15"/>
          <w:szCs w:val="15"/>
        </w:rPr>
        <w:t xml:space="preserve">  </w:t>
      </w:r>
      <w:r>
        <w:rPr>
          <w:rFonts w:hint="eastAsia"/>
          <w:sz w:val="15"/>
          <w:szCs w:val="15"/>
          <w:lang w:val="en-US" w:eastAsia="zh-CN"/>
        </w:rPr>
        <w:t>冀APC993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