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安振海</w:t>
      </w:r>
      <w:r>
        <w:rPr>
          <w:rFonts w:hint="eastAsia"/>
          <w:sz w:val="15"/>
          <w:szCs w:val="15"/>
          <w:highlight w:val="none"/>
        </w:rPr>
        <w:t>，</w:t>
      </w:r>
      <w:r>
        <w:rPr>
          <w:rFonts w:hint="eastAsia"/>
          <w:sz w:val="15"/>
          <w:szCs w:val="15"/>
          <w:highlight w:val="none"/>
          <w:lang w:val="en-US" w:eastAsia="zh-CN"/>
        </w:rPr>
        <w:t>132335196802070030</w:t>
      </w:r>
      <w:r>
        <w:rPr>
          <w:rFonts w:hint="eastAsia"/>
          <w:sz w:val="15"/>
          <w:szCs w:val="15"/>
        </w:rPr>
        <w:t xml:space="preserve">  </w:t>
      </w:r>
      <w:r>
        <w:rPr>
          <w:rFonts w:hint="eastAsia"/>
          <w:sz w:val="15"/>
          <w:szCs w:val="15"/>
          <w:lang w:val="en-US" w:eastAsia="zh-CN"/>
        </w:rPr>
        <w:t>冀AKV247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