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冯晓东</w:t>
      </w:r>
      <w:r>
        <w:rPr>
          <w:rFonts w:hint="eastAsia"/>
          <w:sz w:val="15"/>
          <w:szCs w:val="15"/>
          <w:highlight w:val="none"/>
        </w:rPr>
        <w:t>，</w:t>
      </w:r>
      <w:r>
        <w:rPr>
          <w:rFonts w:hint="eastAsia"/>
          <w:sz w:val="15"/>
          <w:szCs w:val="15"/>
          <w:highlight w:val="none"/>
          <w:lang w:val="en-US" w:eastAsia="zh-CN"/>
        </w:rPr>
        <w:t>130131198405240017</w:t>
      </w:r>
      <w:r>
        <w:rPr>
          <w:rFonts w:hint="eastAsia"/>
          <w:sz w:val="15"/>
          <w:szCs w:val="15"/>
        </w:rPr>
        <w:t xml:space="preserve">  </w:t>
      </w:r>
      <w:r>
        <w:rPr>
          <w:rFonts w:hint="eastAsia"/>
          <w:sz w:val="15"/>
          <w:szCs w:val="15"/>
          <w:lang w:val="en-US" w:eastAsia="zh-CN"/>
        </w:rPr>
        <w:t>冀A7574X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