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张然</w:t>
      </w:r>
      <w:r>
        <w:rPr>
          <w:rFonts w:hint="eastAsia"/>
          <w:sz w:val="15"/>
          <w:szCs w:val="15"/>
          <w:highlight w:val="none"/>
        </w:rPr>
        <w:t>，</w:t>
      </w:r>
      <w:r>
        <w:rPr>
          <w:rFonts w:hint="eastAsia"/>
          <w:sz w:val="15"/>
          <w:szCs w:val="15"/>
          <w:highlight w:val="none"/>
          <w:lang w:val="en-US" w:eastAsia="zh-CN"/>
        </w:rPr>
        <w:t>130131199701300613</w:t>
      </w:r>
      <w:r>
        <w:rPr>
          <w:rFonts w:hint="eastAsia"/>
          <w:sz w:val="15"/>
          <w:szCs w:val="15"/>
        </w:rPr>
        <w:t xml:space="preserve">  </w:t>
      </w:r>
      <w:r>
        <w:rPr>
          <w:rFonts w:hint="eastAsia"/>
          <w:sz w:val="15"/>
          <w:szCs w:val="15"/>
          <w:lang w:val="en-US" w:eastAsia="zh-CN"/>
        </w:rPr>
        <w:t>冀A07990D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