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王健</w:t>
      </w:r>
      <w:r>
        <w:rPr>
          <w:rFonts w:hint="eastAsia"/>
          <w:sz w:val="15"/>
          <w:szCs w:val="15"/>
          <w:highlight w:val="none"/>
        </w:rPr>
        <w:t>，</w:t>
      </w:r>
      <w:r>
        <w:rPr>
          <w:rFonts w:hint="eastAsia"/>
          <w:sz w:val="15"/>
          <w:szCs w:val="15"/>
          <w:highlight w:val="none"/>
          <w:lang w:val="en-US" w:eastAsia="zh-CN"/>
        </w:rPr>
        <w:t>140322198402157572</w:t>
      </w:r>
      <w:r>
        <w:rPr>
          <w:rFonts w:hint="eastAsia"/>
          <w:sz w:val="15"/>
          <w:szCs w:val="15"/>
        </w:rPr>
        <w:t xml:space="preserve">  </w:t>
      </w:r>
      <w:r>
        <w:rPr>
          <w:rFonts w:hint="eastAsia"/>
          <w:sz w:val="15"/>
          <w:szCs w:val="15"/>
          <w:lang w:val="en-US" w:eastAsia="zh-CN"/>
        </w:rPr>
        <w:t>晋C26966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