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陈立霞</w:t>
      </w:r>
      <w:r>
        <w:rPr>
          <w:rFonts w:hint="eastAsia"/>
          <w:sz w:val="15"/>
          <w:szCs w:val="15"/>
          <w:highlight w:val="none"/>
        </w:rPr>
        <w:t>，</w:t>
      </w:r>
      <w:r>
        <w:rPr>
          <w:rFonts w:hint="eastAsia"/>
          <w:sz w:val="15"/>
          <w:szCs w:val="15"/>
          <w:highlight w:val="none"/>
          <w:lang w:val="en-US" w:eastAsia="zh-CN"/>
        </w:rPr>
        <w:t>132337198108063203</w:t>
      </w:r>
      <w:r>
        <w:rPr>
          <w:rFonts w:hint="eastAsia"/>
          <w:sz w:val="15"/>
          <w:szCs w:val="15"/>
        </w:rPr>
        <w:t xml:space="preserve">  </w:t>
      </w:r>
      <w:r>
        <w:rPr>
          <w:rFonts w:hint="eastAsia"/>
          <w:sz w:val="15"/>
          <w:szCs w:val="15"/>
          <w:lang w:val="en-US" w:eastAsia="zh-CN"/>
        </w:rPr>
        <w:t>冀AV3047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