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刘泽峰</w:t>
      </w:r>
      <w:r>
        <w:rPr>
          <w:rFonts w:hint="eastAsia"/>
          <w:sz w:val="15"/>
          <w:szCs w:val="15"/>
          <w:highlight w:val="none"/>
        </w:rPr>
        <w:t>，</w:t>
      </w:r>
      <w:r>
        <w:rPr>
          <w:rFonts w:hint="eastAsia"/>
          <w:sz w:val="15"/>
          <w:szCs w:val="15"/>
          <w:highlight w:val="none"/>
          <w:lang w:val="en-US" w:eastAsia="zh-CN"/>
        </w:rPr>
        <w:t>130125200210162031</w:t>
      </w:r>
      <w:r>
        <w:rPr>
          <w:rFonts w:hint="eastAsia"/>
          <w:sz w:val="15"/>
          <w:szCs w:val="15"/>
        </w:rPr>
        <w:t xml:space="preserve">  </w:t>
      </w:r>
      <w:r>
        <w:rPr>
          <w:rFonts w:hint="eastAsia"/>
          <w:sz w:val="15"/>
          <w:szCs w:val="15"/>
          <w:lang w:val="en-US" w:eastAsia="zh-CN"/>
        </w:rPr>
        <w:t>冀A05P39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