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韩卫杰</w:t>
      </w:r>
      <w:r>
        <w:rPr>
          <w:rFonts w:hint="eastAsia"/>
          <w:sz w:val="15"/>
          <w:szCs w:val="15"/>
          <w:highlight w:val="none"/>
        </w:rPr>
        <w:t>，</w:t>
      </w:r>
      <w:r>
        <w:rPr>
          <w:rFonts w:hint="eastAsia"/>
          <w:sz w:val="15"/>
          <w:szCs w:val="15"/>
          <w:highlight w:val="none"/>
          <w:lang w:val="en-US" w:eastAsia="zh-CN"/>
        </w:rPr>
        <w:t>130125199510292019</w:t>
      </w:r>
      <w:r>
        <w:rPr>
          <w:rFonts w:hint="eastAsia"/>
          <w:sz w:val="15"/>
          <w:szCs w:val="15"/>
        </w:rPr>
        <w:t xml:space="preserve">  </w:t>
      </w:r>
      <w:r>
        <w:rPr>
          <w:rFonts w:hint="eastAsia"/>
          <w:sz w:val="15"/>
          <w:szCs w:val="15"/>
          <w:lang w:val="en-US" w:eastAsia="zh-CN"/>
        </w:rPr>
        <w:t>冀AY6203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