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付彦龙</w:t>
      </w:r>
      <w:r>
        <w:rPr>
          <w:rFonts w:hint="eastAsia"/>
          <w:sz w:val="15"/>
          <w:szCs w:val="15"/>
          <w:highlight w:val="none"/>
        </w:rPr>
        <w:t>，</w:t>
      </w:r>
      <w:r>
        <w:rPr>
          <w:rFonts w:hint="eastAsia"/>
          <w:sz w:val="15"/>
          <w:szCs w:val="15"/>
          <w:highlight w:val="none"/>
          <w:lang w:val="en-US" w:eastAsia="zh-CN"/>
        </w:rPr>
        <w:t>132335197806261170</w:t>
      </w:r>
      <w:r>
        <w:rPr>
          <w:rFonts w:hint="eastAsia"/>
          <w:sz w:val="15"/>
          <w:szCs w:val="15"/>
        </w:rPr>
        <w:t xml:space="preserve">  </w:t>
      </w:r>
      <w:r>
        <w:rPr>
          <w:rFonts w:hint="eastAsia"/>
          <w:sz w:val="15"/>
          <w:szCs w:val="15"/>
          <w:lang w:val="en-US" w:eastAsia="zh-CN"/>
        </w:rPr>
        <w:t>冀A35419D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