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张文龙</w:t>
      </w:r>
      <w:r>
        <w:rPr>
          <w:rFonts w:hint="eastAsia"/>
          <w:sz w:val="15"/>
          <w:szCs w:val="15"/>
          <w:highlight w:val="none"/>
        </w:rPr>
        <w:t>，</w:t>
      </w:r>
      <w:r>
        <w:rPr>
          <w:rFonts w:hint="eastAsia"/>
          <w:sz w:val="15"/>
          <w:szCs w:val="15"/>
          <w:highlight w:val="none"/>
          <w:lang w:val="en-US" w:eastAsia="zh-CN"/>
        </w:rPr>
        <w:t>130524198804124038</w:t>
      </w:r>
      <w:r>
        <w:rPr>
          <w:rFonts w:hint="eastAsia"/>
          <w:sz w:val="15"/>
          <w:szCs w:val="15"/>
        </w:rPr>
        <w:t xml:space="preserve">  </w:t>
      </w:r>
      <w:r>
        <w:rPr>
          <w:rFonts w:hint="eastAsia"/>
          <w:sz w:val="15"/>
          <w:szCs w:val="15"/>
          <w:lang w:val="en-US" w:eastAsia="zh-CN"/>
        </w:rPr>
        <w:t>冀E1562X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