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3368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祁建省</w:t>
      </w:r>
      <w:r>
        <w:rPr>
          <w:rFonts w:hint="eastAsia"/>
          <w:sz w:val="15"/>
          <w:szCs w:val="15"/>
          <w:highlight w:val="none"/>
        </w:rPr>
        <w:t>，</w:t>
      </w:r>
      <w:r>
        <w:rPr>
          <w:rFonts w:hint="eastAsia"/>
          <w:sz w:val="15"/>
          <w:szCs w:val="15"/>
          <w:highlight w:val="none"/>
          <w:lang w:val="en-US" w:eastAsia="zh-CN"/>
        </w:rPr>
        <w:t>130524198203125035</w:t>
      </w:r>
      <w:r>
        <w:rPr>
          <w:rFonts w:hint="eastAsia"/>
          <w:sz w:val="15"/>
          <w:szCs w:val="15"/>
        </w:rPr>
        <w:t xml:space="preserve">  </w:t>
      </w:r>
      <w:r>
        <w:rPr>
          <w:rFonts w:hint="eastAsia"/>
          <w:sz w:val="15"/>
          <w:szCs w:val="15"/>
          <w:lang w:val="en-US" w:eastAsia="zh-CN"/>
        </w:rPr>
        <w:t>冀AQ5126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