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施喜录</w:t>
      </w:r>
      <w:r>
        <w:rPr>
          <w:rFonts w:hint="eastAsia"/>
          <w:sz w:val="15"/>
          <w:szCs w:val="15"/>
          <w:highlight w:val="none"/>
        </w:rPr>
        <w:t>，</w:t>
      </w:r>
      <w:r>
        <w:rPr>
          <w:rFonts w:hint="eastAsia"/>
          <w:sz w:val="15"/>
          <w:szCs w:val="15"/>
          <w:highlight w:val="none"/>
          <w:lang w:val="en-US" w:eastAsia="zh-CN"/>
        </w:rPr>
        <w:t>132335197110011018</w:t>
      </w:r>
      <w:r>
        <w:rPr>
          <w:rFonts w:hint="eastAsia"/>
          <w:sz w:val="15"/>
          <w:szCs w:val="15"/>
        </w:rPr>
        <w:t xml:space="preserve">  </w:t>
      </w:r>
      <w:r>
        <w:rPr>
          <w:rFonts w:hint="eastAsia"/>
          <w:sz w:val="15"/>
          <w:szCs w:val="15"/>
          <w:lang w:val="en-US" w:eastAsia="zh-CN"/>
        </w:rPr>
        <w:t>冀A49689D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