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陈文慧</w:t>
      </w:r>
      <w:r>
        <w:rPr>
          <w:rFonts w:hint="eastAsia"/>
          <w:sz w:val="15"/>
          <w:szCs w:val="15"/>
          <w:highlight w:val="none"/>
        </w:rPr>
        <w:t>，</w:t>
      </w:r>
      <w:r>
        <w:rPr>
          <w:rFonts w:hint="eastAsia"/>
          <w:sz w:val="15"/>
          <w:szCs w:val="15"/>
          <w:highlight w:val="none"/>
          <w:lang w:val="en-US" w:eastAsia="zh-CN"/>
        </w:rPr>
        <w:t>140121200103058219</w:t>
      </w:r>
      <w:r>
        <w:rPr>
          <w:rFonts w:hint="eastAsia"/>
          <w:sz w:val="15"/>
          <w:szCs w:val="15"/>
        </w:rPr>
        <w:t xml:space="preserve">  </w:t>
      </w:r>
      <w:r>
        <w:rPr>
          <w:rFonts w:hint="eastAsia"/>
          <w:sz w:val="15"/>
          <w:szCs w:val="15"/>
          <w:lang w:val="en-US" w:eastAsia="zh-CN"/>
        </w:rPr>
        <w:t>晋KT5231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