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程嘉明</w:t>
      </w:r>
      <w:r>
        <w:rPr>
          <w:rFonts w:hint="eastAsia"/>
          <w:sz w:val="15"/>
          <w:szCs w:val="15"/>
          <w:highlight w:val="none"/>
        </w:rPr>
        <w:t>，</w:t>
      </w:r>
      <w:r>
        <w:rPr>
          <w:rFonts w:hint="eastAsia"/>
          <w:sz w:val="15"/>
          <w:szCs w:val="15"/>
          <w:highlight w:val="none"/>
          <w:lang w:val="en-US" w:eastAsia="zh-CN"/>
        </w:rPr>
        <w:t>142430199410222014</w:t>
      </w:r>
      <w:r>
        <w:rPr>
          <w:rFonts w:hint="eastAsia"/>
          <w:sz w:val="15"/>
          <w:szCs w:val="15"/>
        </w:rPr>
        <w:t xml:space="preserve">  </w:t>
      </w:r>
      <w:r>
        <w:rPr>
          <w:rFonts w:hint="eastAsia"/>
          <w:sz w:val="15"/>
          <w:szCs w:val="15"/>
          <w:lang w:val="en-US" w:eastAsia="zh-CN"/>
        </w:rPr>
        <w:t>晋KM8554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