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李春苓</w:t>
      </w:r>
      <w:r>
        <w:rPr>
          <w:rFonts w:hint="eastAsia"/>
          <w:sz w:val="15"/>
          <w:szCs w:val="15"/>
          <w:highlight w:val="none"/>
        </w:rPr>
        <w:t>，</w:t>
      </w:r>
      <w:r>
        <w:rPr>
          <w:rFonts w:hint="eastAsia"/>
          <w:sz w:val="15"/>
          <w:szCs w:val="15"/>
          <w:highlight w:val="none"/>
          <w:lang w:val="en-US" w:eastAsia="zh-CN"/>
        </w:rPr>
        <w:t>130921196902144212</w:t>
      </w:r>
      <w:r>
        <w:rPr>
          <w:rFonts w:hint="eastAsia"/>
          <w:sz w:val="15"/>
          <w:szCs w:val="15"/>
        </w:rPr>
        <w:t xml:space="preserve">  </w:t>
      </w:r>
      <w:r>
        <w:rPr>
          <w:rFonts w:hint="eastAsia"/>
          <w:sz w:val="15"/>
          <w:szCs w:val="15"/>
          <w:lang w:val="en-US" w:eastAsia="zh-CN"/>
        </w:rPr>
        <w:t>冀J1L627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