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韩式成</w:t>
      </w:r>
      <w:r>
        <w:rPr>
          <w:rFonts w:hint="eastAsia"/>
          <w:sz w:val="15"/>
          <w:szCs w:val="15"/>
          <w:highlight w:val="none"/>
        </w:rPr>
        <w:t>，</w:t>
      </w:r>
      <w:r>
        <w:rPr>
          <w:rFonts w:hint="eastAsia"/>
          <w:sz w:val="15"/>
          <w:szCs w:val="15"/>
          <w:highlight w:val="none"/>
          <w:lang w:val="en-US" w:eastAsia="zh-CN"/>
        </w:rPr>
        <w:t>130922198210134852</w:t>
      </w:r>
      <w:r>
        <w:rPr>
          <w:rFonts w:hint="eastAsia"/>
          <w:sz w:val="15"/>
          <w:szCs w:val="15"/>
        </w:rPr>
        <w:t xml:space="preserve">  </w:t>
      </w:r>
      <w:r>
        <w:rPr>
          <w:rFonts w:hint="eastAsia"/>
          <w:sz w:val="15"/>
          <w:szCs w:val="15"/>
          <w:lang w:val="en-US" w:eastAsia="zh-CN"/>
        </w:rPr>
        <w:t>冀J9Z799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