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3347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畅将将</w:t>
      </w:r>
      <w:r>
        <w:rPr>
          <w:rFonts w:hint="eastAsia"/>
          <w:sz w:val="15"/>
          <w:szCs w:val="15"/>
          <w:highlight w:val="none"/>
        </w:rPr>
        <w:t>，</w:t>
      </w:r>
      <w:r>
        <w:rPr>
          <w:rFonts w:hint="eastAsia"/>
          <w:sz w:val="15"/>
          <w:szCs w:val="15"/>
          <w:highlight w:val="none"/>
          <w:lang w:val="en-US" w:eastAsia="zh-CN"/>
        </w:rPr>
        <w:t>142430199404172057</w:t>
      </w:r>
      <w:r>
        <w:rPr>
          <w:rFonts w:hint="eastAsia"/>
          <w:sz w:val="15"/>
          <w:szCs w:val="15"/>
        </w:rPr>
        <w:t xml:space="preserve">  </w:t>
      </w:r>
      <w:r>
        <w:rPr>
          <w:rFonts w:hint="eastAsia"/>
          <w:sz w:val="15"/>
          <w:szCs w:val="15"/>
          <w:lang w:val="en-US" w:eastAsia="zh-CN"/>
        </w:rPr>
        <w:t>晋KU4179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