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朱树槐</w:t>
      </w:r>
      <w:r>
        <w:rPr>
          <w:rFonts w:hint="eastAsia"/>
          <w:sz w:val="15"/>
          <w:szCs w:val="15"/>
          <w:highlight w:val="none"/>
        </w:rPr>
        <w:t>，</w:t>
      </w:r>
      <w:r>
        <w:rPr>
          <w:rFonts w:hint="eastAsia"/>
          <w:sz w:val="15"/>
          <w:szCs w:val="15"/>
          <w:highlight w:val="none"/>
          <w:lang w:val="en-US" w:eastAsia="zh-CN"/>
        </w:rPr>
        <w:t>130922199112204831</w:t>
      </w:r>
      <w:r>
        <w:rPr>
          <w:rFonts w:hint="eastAsia"/>
          <w:sz w:val="15"/>
          <w:szCs w:val="15"/>
        </w:rPr>
        <w:t xml:space="preserve">  </w:t>
      </w:r>
      <w:r>
        <w:rPr>
          <w:rFonts w:hint="eastAsia"/>
          <w:sz w:val="15"/>
          <w:szCs w:val="15"/>
          <w:lang w:val="en-US" w:eastAsia="zh-CN"/>
        </w:rPr>
        <w:t>冀J0B995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