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杨俊杰</w:t>
      </w:r>
      <w:r>
        <w:rPr>
          <w:rFonts w:hint="eastAsia"/>
          <w:sz w:val="15"/>
          <w:szCs w:val="15"/>
          <w:highlight w:val="none"/>
        </w:rPr>
        <w:t>，</w:t>
      </w:r>
      <w:r>
        <w:rPr>
          <w:rFonts w:hint="eastAsia"/>
          <w:sz w:val="15"/>
          <w:szCs w:val="15"/>
          <w:highlight w:val="none"/>
          <w:lang w:val="en-US" w:eastAsia="zh-CN"/>
        </w:rPr>
        <w:t>140104196509293715</w:t>
      </w:r>
      <w:r>
        <w:rPr>
          <w:rFonts w:hint="eastAsia"/>
          <w:sz w:val="15"/>
          <w:szCs w:val="15"/>
        </w:rPr>
        <w:t xml:space="preserve">  </w:t>
      </w:r>
      <w:r>
        <w:rPr>
          <w:rFonts w:hint="eastAsia"/>
          <w:sz w:val="15"/>
          <w:szCs w:val="15"/>
          <w:lang w:val="en-US" w:eastAsia="zh-CN"/>
        </w:rPr>
        <w:t>冀J7G570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