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秦文庆</w:t>
      </w:r>
      <w:r>
        <w:rPr>
          <w:rFonts w:hint="eastAsia"/>
          <w:sz w:val="15"/>
          <w:szCs w:val="15"/>
          <w:highlight w:val="none"/>
        </w:rPr>
        <w:t>，</w:t>
      </w:r>
      <w:r>
        <w:rPr>
          <w:rFonts w:hint="eastAsia"/>
          <w:sz w:val="15"/>
          <w:szCs w:val="15"/>
          <w:highlight w:val="none"/>
          <w:lang w:val="en-US" w:eastAsia="zh-CN"/>
        </w:rPr>
        <w:t>130921197306063234</w:t>
      </w:r>
      <w:r>
        <w:rPr>
          <w:rFonts w:hint="eastAsia"/>
          <w:sz w:val="15"/>
          <w:szCs w:val="15"/>
        </w:rPr>
        <w:t xml:space="preserve">  </w:t>
      </w:r>
      <w:r>
        <w:rPr>
          <w:rFonts w:hint="eastAsia"/>
          <w:sz w:val="15"/>
          <w:szCs w:val="15"/>
          <w:lang w:val="en-US" w:eastAsia="zh-CN"/>
        </w:rPr>
        <w:t>冀J0P861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