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李润刚</w:t>
      </w:r>
      <w:r>
        <w:rPr>
          <w:rFonts w:hint="eastAsia"/>
          <w:sz w:val="15"/>
          <w:szCs w:val="15"/>
          <w:highlight w:val="none"/>
        </w:rPr>
        <w:t>，</w:t>
      </w:r>
      <w:r>
        <w:rPr>
          <w:rFonts w:hint="eastAsia"/>
          <w:sz w:val="15"/>
          <w:szCs w:val="15"/>
          <w:highlight w:val="none"/>
          <w:lang w:val="en-US" w:eastAsia="zh-CN"/>
        </w:rPr>
        <w:t>130921197911124015</w:t>
      </w:r>
      <w:r>
        <w:rPr>
          <w:rFonts w:hint="eastAsia"/>
          <w:sz w:val="15"/>
          <w:szCs w:val="15"/>
        </w:rPr>
        <w:t xml:space="preserve">  </w:t>
      </w:r>
      <w:r>
        <w:rPr>
          <w:rFonts w:hint="eastAsia"/>
          <w:sz w:val="15"/>
          <w:szCs w:val="15"/>
          <w:lang w:val="en-US" w:eastAsia="zh-CN"/>
        </w:rPr>
        <w:t>冀J0P263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