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张永利</w:t>
      </w:r>
      <w:r>
        <w:rPr>
          <w:rFonts w:hint="eastAsia"/>
          <w:sz w:val="15"/>
          <w:szCs w:val="15"/>
          <w:highlight w:val="none"/>
        </w:rPr>
        <w:t>，</w:t>
      </w:r>
      <w:r>
        <w:rPr>
          <w:rFonts w:hint="eastAsia"/>
          <w:sz w:val="15"/>
          <w:szCs w:val="15"/>
          <w:highlight w:val="none"/>
          <w:lang w:val="en-US" w:eastAsia="zh-CN"/>
        </w:rPr>
        <w:t>130121198011141013</w:t>
      </w:r>
      <w:r>
        <w:rPr>
          <w:rFonts w:hint="eastAsia"/>
          <w:sz w:val="15"/>
          <w:szCs w:val="15"/>
        </w:rPr>
        <w:t xml:space="preserve">  </w:t>
      </w:r>
      <w:r>
        <w:rPr>
          <w:rFonts w:hint="eastAsia"/>
          <w:sz w:val="15"/>
          <w:szCs w:val="15"/>
          <w:lang w:val="en-US" w:eastAsia="zh-CN"/>
        </w:rPr>
        <w:t>冀A774AH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