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李玉静</w:t>
      </w:r>
      <w:r>
        <w:rPr>
          <w:rFonts w:hint="eastAsia"/>
          <w:sz w:val="15"/>
          <w:szCs w:val="15"/>
          <w:highlight w:val="none"/>
        </w:rPr>
        <w:t>，</w:t>
      </w:r>
      <w:r>
        <w:rPr>
          <w:rFonts w:hint="eastAsia"/>
          <w:sz w:val="15"/>
          <w:szCs w:val="15"/>
          <w:highlight w:val="none"/>
          <w:lang w:val="en-US" w:eastAsia="zh-CN"/>
        </w:rPr>
        <w:t>130182198802024908</w:t>
      </w:r>
      <w:r>
        <w:rPr>
          <w:rFonts w:hint="eastAsia"/>
          <w:sz w:val="15"/>
          <w:szCs w:val="15"/>
        </w:rPr>
        <w:t xml:space="preserve">  </w:t>
      </w:r>
      <w:r>
        <w:rPr>
          <w:rFonts w:hint="eastAsia"/>
          <w:sz w:val="15"/>
          <w:szCs w:val="15"/>
          <w:lang w:val="en-US" w:eastAsia="zh-CN"/>
        </w:rPr>
        <w:t>冀A106AH</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