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梁丽</w:t>
      </w:r>
      <w:r>
        <w:rPr>
          <w:rFonts w:hint="eastAsia"/>
          <w:sz w:val="15"/>
          <w:szCs w:val="15"/>
          <w:highlight w:val="none"/>
        </w:rPr>
        <w:t>，</w:t>
      </w:r>
      <w:r>
        <w:rPr>
          <w:rFonts w:hint="eastAsia"/>
          <w:sz w:val="15"/>
          <w:szCs w:val="15"/>
          <w:highlight w:val="none"/>
          <w:lang w:val="en-US" w:eastAsia="zh-CN"/>
        </w:rPr>
        <w:t>130121199001181446</w:t>
      </w:r>
      <w:r>
        <w:rPr>
          <w:rFonts w:hint="eastAsia"/>
          <w:sz w:val="15"/>
          <w:szCs w:val="15"/>
        </w:rPr>
        <w:t xml:space="preserve">  </w:t>
      </w:r>
      <w:r>
        <w:rPr>
          <w:rFonts w:hint="eastAsia"/>
          <w:sz w:val="15"/>
          <w:szCs w:val="15"/>
          <w:lang w:val="en-US" w:eastAsia="zh-CN"/>
        </w:rPr>
        <w:t>冀A46465D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