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崔前顺</w:t>
      </w:r>
      <w:r>
        <w:rPr>
          <w:rFonts w:hint="eastAsia"/>
          <w:sz w:val="15"/>
          <w:szCs w:val="15"/>
          <w:highlight w:val="none"/>
        </w:rPr>
        <w:t>，</w:t>
      </w:r>
      <w:r>
        <w:rPr>
          <w:rFonts w:hint="eastAsia"/>
          <w:sz w:val="15"/>
          <w:szCs w:val="15"/>
          <w:highlight w:val="none"/>
          <w:lang w:val="en-US" w:eastAsia="zh-CN"/>
        </w:rPr>
        <w:t>132337197812041433</w:t>
      </w:r>
      <w:r>
        <w:rPr>
          <w:rFonts w:hint="eastAsia"/>
          <w:sz w:val="15"/>
          <w:szCs w:val="15"/>
        </w:rPr>
        <w:t xml:space="preserve">  </w:t>
      </w:r>
      <w:r>
        <w:rPr>
          <w:rFonts w:hint="eastAsia"/>
          <w:sz w:val="15"/>
          <w:szCs w:val="15"/>
          <w:lang w:val="en-US" w:eastAsia="zh-CN"/>
        </w:rPr>
        <w:t>冀A47561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