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高风霞</w:t>
      </w:r>
      <w:r>
        <w:rPr>
          <w:rFonts w:hint="eastAsia"/>
          <w:sz w:val="15"/>
          <w:szCs w:val="15"/>
          <w:highlight w:val="none"/>
        </w:rPr>
        <w:t>，</w:t>
      </w:r>
      <w:r>
        <w:rPr>
          <w:rFonts w:hint="eastAsia"/>
          <w:sz w:val="15"/>
          <w:szCs w:val="15"/>
          <w:highlight w:val="none"/>
          <w:lang w:val="en-US" w:eastAsia="zh-CN"/>
        </w:rPr>
        <w:t>130107198109081525</w:t>
      </w:r>
      <w:r>
        <w:rPr>
          <w:rFonts w:hint="eastAsia"/>
          <w:sz w:val="15"/>
          <w:szCs w:val="15"/>
        </w:rPr>
        <w:t xml:space="preserve">  </w:t>
      </w:r>
      <w:r>
        <w:rPr>
          <w:rFonts w:hint="eastAsia"/>
          <w:sz w:val="15"/>
          <w:szCs w:val="15"/>
          <w:lang w:val="en-US" w:eastAsia="zh-CN"/>
        </w:rPr>
        <w:t>冀A97725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