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史伟英</w:t>
      </w:r>
      <w:r>
        <w:rPr>
          <w:rFonts w:hint="eastAsia"/>
          <w:sz w:val="15"/>
          <w:szCs w:val="15"/>
          <w:highlight w:val="none"/>
        </w:rPr>
        <w:t>，</w:t>
      </w:r>
      <w:r>
        <w:rPr>
          <w:rFonts w:hint="eastAsia"/>
          <w:sz w:val="15"/>
          <w:szCs w:val="15"/>
          <w:highlight w:val="none"/>
          <w:lang w:val="en-US" w:eastAsia="zh-CN"/>
        </w:rPr>
        <w:t>410923197508152411</w:t>
      </w:r>
      <w:r>
        <w:rPr>
          <w:rFonts w:hint="eastAsia"/>
          <w:sz w:val="15"/>
          <w:szCs w:val="15"/>
        </w:rPr>
        <w:t xml:space="preserve">  </w:t>
      </w:r>
      <w:r>
        <w:rPr>
          <w:rFonts w:hint="eastAsia"/>
          <w:sz w:val="15"/>
          <w:szCs w:val="15"/>
          <w:lang w:val="en-US" w:eastAsia="zh-CN"/>
        </w:rPr>
        <w:t>冀D29192D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