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田艳伟</w:t>
      </w:r>
      <w:r>
        <w:rPr>
          <w:rFonts w:hint="eastAsia"/>
          <w:sz w:val="15"/>
          <w:szCs w:val="15"/>
          <w:highlight w:val="none"/>
        </w:rPr>
        <w:t>，</w:t>
      </w:r>
      <w:r>
        <w:rPr>
          <w:rFonts w:hint="eastAsia"/>
          <w:sz w:val="15"/>
          <w:szCs w:val="15"/>
          <w:highlight w:val="none"/>
          <w:lang w:val="en-US" w:eastAsia="zh-CN"/>
        </w:rPr>
        <w:t>130434198501165219</w:t>
      </w:r>
      <w:r>
        <w:rPr>
          <w:rFonts w:hint="eastAsia"/>
          <w:sz w:val="15"/>
          <w:szCs w:val="15"/>
        </w:rPr>
        <w:t xml:space="preserve">  </w:t>
      </w:r>
      <w:r>
        <w:rPr>
          <w:rFonts w:hint="eastAsia"/>
          <w:sz w:val="15"/>
          <w:szCs w:val="15"/>
          <w:lang w:val="en-US" w:eastAsia="zh-CN"/>
        </w:rPr>
        <w:t>冀D11122D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