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霍会丽</w:t>
      </w:r>
      <w:r>
        <w:rPr>
          <w:rFonts w:hint="eastAsia"/>
          <w:sz w:val="15"/>
          <w:szCs w:val="15"/>
          <w:highlight w:val="none"/>
        </w:rPr>
        <w:t>，</w:t>
      </w:r>
      <w:r>
        <w:rPr>
          <w:rFonts w:hint="eastAsia"/>
          <w:sz w:val="15"/>
          <w:szCs w:val="15"/>
          <w:highlight w:val="none"/>
          <w:lang w:val="en-US" w:eastAsia="zh-CN"/>
        </w:rPr>
        <w:t>130131198808150622</w:t>
      </w:r>
      <w:r>
        <w:rPr>
          <w:rFonts w:hint="eastAsia"/>
          <w:sz w:val="15"/>
          <w:szCs w:val="15"/>
        </w:rPr>
        <w:t xml:space="preserve">  </w:t>
      </w:r>
      <w:r>
        <w:rPr>
          <w:rFonts w:hint="eastAsia"/>
          <w:sz w:val="15"/>
          <w:szCs w:val="15"/>
          <w:lang w:val="en-US" w:eastAsia="zh-CN"/>
        </w:rPr>
        <w:t>沪A29601A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