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康彦利</w:t>
      </w:r>
      <w:r>
        <w:rPr>
          <w:rFonts w:hint="eastAsia"/>
          <w:sz w:val="15"/>
          <w:szCs w:val="15"/>
          <w:highlight w:val="none"/>
        </w:rPr>
        <w:t>，</w:t>
      </w:r>
      <w:r>
        <w:rPr>
          <w:rFonts w:hint="eastAsia"/>
          <w:sz w:val="15"/>
          <w:szCs w:val="15"/>
          <w:highlight w:val="none"/>
          <w:lang w:val="en-US" w:eastAsia="zh-CN"/>
        </w:rPr>
        <w:t>130131198407164222</w:t>
      </w:r>
      <w:r>
        <w:rPr>
          <w:rFonts w:hint="eastAsia"/>
          <w:sz w:val="15"/>
          <w:szCs w:val="15"/>
        </w:rPr>
        <w:t xml:space="preserve">  </w:t>
      </w:r>
      <w:r>
        <w:rPr>
          <w:rFonts w:hint="eastAsia"/>
          <w:sz w:val="15"/>
          <w:szCs w:val="15"/>
          <w:lang w:val="en-US" w:eastAsia="zh-CN"/>
        </w:rPr>
        <w:t>沪A09143D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